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F4" w:rsidRDefault="006E37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GoBack"/>
      <w:bookmarkEnd w:id="0"/>
    </w:p>
    <w:p w:rsidR="006E37F4" w:rsidRDefault="000D152A">
      <w:pPr>
        <w:spacing w:after="0" w:line="240" w:lineRule="auto"/>
        <w:jc w:val="center"/>
        <w:rPr>
          <w:rFonts w:eastAsia="Calibri" w:cs="Calibri"/>
          <w:b/>
          <w:i/>
          <w:sz w:val="24"/>
          <w:szCs w:val="24"/>
        </w:rPr>
      </w:pPr>
      <w:r>
        <w:rPr>
          <w:rFonts w:eastAsia="Calibri" w:cs="Calibri"/>
          <w:b/>
          <w:i/>
          <w:sz w:val="24"/>
          <w:szCs w:val="24"/>
        </w:rPr>
        <w:t>ПРОТОКОЛ</w:t>
      </w:r>
    </w:p>
    <w:p w:rsidR="006E37F4" w:rsidRDefault="000D152A">
      <w:pPr>
        <w:spacing w:after="0" w:line="240" w:lineRule="auto"/>
        <w:jc w:val="center"/>
        <w:rPr>
          <w:rFonts w:eastAsia="Calibri" w:cs="Calibri"/>
          <w:b/>
          <w:i/>
          <w:sz w:val="24"/>
          <w:szCs w:val="24"/>
        </w:rPr>
      </w:pPr>
      <w:r>
        <w:rPr>
          <w:rFonts w:eastAsia="Calibri" w:cs="Calibri"/>
          <w:b/>
          <w:i/>
          <w:sz w:val="24"/>
          <w:szCs w:val="24"/>
        </w:rPr>
        <w:t xml:space="preserve">от обществено обсъждане на проект на Предварителна оценка на риска от наводнения и Райони със значителен потенциален риск от наводнения в Дунавски район за </w:t>
      </w:r>
      <w:proofErr w:type="spellStart"/>
      <w:r>
        <w:rPr>
          <w:rFonts w:eastAsia="Calibri" w:cs="Calibri"/>
          <w:b/>
          <w:i/>
          <w:sz w:val="24"/>
          <w:szCs w:val="24"/>
        </w:rPr>
        <w:t>басейново</w:t>
      </w:r>
      <w:proofErr w:type="spellEnd"/>
      <w:r>
        <w:rPr>
          <w:rFonts w:eastAsia="Calibri" w:cs="Calibri"/>
          <w:b/>
          <w:i/>
          <w:sz w:val="24"/>
          <w:szCs w:val="24"/>
        </w:rPr>
        <w:t xml:space="preserve"> управление</w:t>
      </w:r>
    </w:p>
    <w:p w:rsidR="006E37F4" w:rsidRDefault="006E37F4">
      <w:pPr>
        <w:spacing w:after="0" w:line="240" w:lineRule="auto"/>
        <w:jc w:val="center"/>
        <w:rPr>
          <w:b/>
          <w:color w:val="000000"/>
          <w:highlight w:val="white"/>
        </w:rPr>
      </w:pPr>
    </w:p>
    <w:p w:rsidR="006E37F4" w:rsidRDefault="000D152A">
      <w:pPr>
        <w:spacing w:after="0" w:line="240" w:lineRule="auto"/>
        <w:jc w:val="center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Поречия на реките Огоста и западно от Огоста и река Дунав, </w:t>
      </w:r>
    </w:p>
    <w:p w:rsidR="006E37F4" w:rsidRDefault="000D152A">
      <w:pPr>
        <w:spacing w:after="0" w:line="240" w:lineRule="auto"/>
        <w:jc w:val="center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12 април 2021 г. </w:t>
      </w:r>
    </w:p>
    <w:p w:rsidR="006E37F4" w:rsidRDefault="000D152A">
      <w:pPr>
        <w:spacing w:after="0" w:line="240" w:lineRule="auto"/>
        <w:jc w:val="center"/>
        <w:rPr>
          <w:rFonts w:eastAsia="Calibri" w:cs="Calibri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(Онлайн среща, чрез платформата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Zoom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E37F4" w:rsidRDefault="006E37F4">
      <w:pPr>
        <w:widowControl w:val="0"/>
        <w:spacing w:after="0" w:line="320" w:lineRule="auto"/>
        <w:ind w:right="1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7F4" w:rsidRDefault="006E37F4">
      <w:pPr>
        <w:widowControl w:val="0"/>
        <w:spacing w:after="0" w:line="320" w:lineRule="auto"/>
        <w:ind w:right="1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7F4" w:rsidRDefault="000D152A">
      <w:pPr>
        <w:widowControl w:val="0"/>
        <w:spacing w:after="0" w:line="320" w:lineRule="auto"/>
        <w:ind w:right="11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Проектът на Актуализираната предварителната оценка на риска от наводнения за Дунавски район за </w:t>
      </w:r>
      <w:proofErr w:type="spellStart"/>
      <w:r>
        <w:rPr>
          <w:i/>
          <w:sz w:val="24"/>
          <w:szCs w:val="24"/>
        </w:rPr>
        <w:t>басейново</w:t>
      </w:r>
      <w:proofErr w:type="spellEnd"/>
      <w:r>
        <w:rPr>
          <w:i/>
          <w:sz w:val="24"/>
          <w:szCs w:val="24"/>
        </w:rPr>
        <w:t xml:space="preserve"> управление е изготвен с финансовата подкрепа на </w:t>
      </w:r>
      <w:proofErr w:type="spellStart"/>
      <w:r>
        <w:rPr>
          <w:i/>
          <w:sz w:val="24"/>
          <w:szCs w:val="24"/>
        </w:rPr>
        <w:t>Кохезионния</w:t>
      </w:r>
      <w:proofErr w:type="spellEnd"/>
      <w:r>
        <w:rPr>
          <w:i/>
          <w:sz w:val="24"/>
          <w:szCs w:val="24"/>
        </w:rPr>
        <w:t xml:space="preserve"> фонд на Европейския съюз, чрез Оп</w:t>
      </w:r>
      <w:r>
        <w:rPr>
          <w:i/>
          <w:sz w:val="24"/>
          <w:szCs w:val="24"/>
        </w:rPr>
        <w:t xml:space="preserve">еративна програма „Околна среда 2014-2020“. Бенефициент по проекта е дирекция „Управление на водите“ на Министерство на околната среда и водите в партньорство с четирите </w:t>
      </w:r>
      <w:proofErr w:type="spellStart"/>
      <w:r>
        <w:rPr>
          <w:i/>
          <w:sz w:val="24"/>
          <w:szCs w:val="24"/>
        </w:rPr>
        <w:t>басейнови</w:t>
      </w:r>
      <w:proofErr w:type="spellEnd"/>
      <w:r>
        <w:rPr>
          <w:i/>
          <w:sz w:val="24"/>
          <w:szCs w:val="24"/>
        </w:rPr>
        <w:t xml:space="preserve"> дирекции за управление на водите. Дейността е изпълнена от Международна банк</w:t>
      </w:r>
      <w:r>
        <w:rPr>
          <w:i/>
          <w:sz w:val="24"/>
          <w:szCs w:val="24"/>
        </w:rPr>
        <w:t>а за възстановяване и развитие, в рамките на Споразумение с Министерство на околната среда и водите за предоставяне на помощни услуги в подкрепа на разработването на ПУРБ и ПУРН за България.</w:t>
      </w:r>
    </w:p>
    <w:p w:rsidR="006E37F4" w:rsidRDefault="006E37F4">
      <w:pPr>
        <w:widowControl w:val="0"/>
        <w:spacing w:after="0" w:line="320" w:lineRule="auto"/>
        <w:ind w:right="115"/>
        <w:jc w:val="both"/>
        <w:rPr>
          <w:b/>
          <w:sz w:val="24"/>
          <w:szCs w:val="24"/>
        </w:rPr>
      </w:pPr>
    </w:p>
    <w:p w:rsidR="006E37F4" w:rsidRDefault="000D152A">
      <w:pPr>
        <w:widowControl w:val="0"/>
        <w:spacing w:after="0" w:line="320" w:lineRule="auto"/>
        <w:ind w:right="115"/>
        <w:jc w:val="both"/>
        <w:rPr>
          <w:sz w:val="24"/>
          <w:szCs w:val="24"/>
        </w:rPr>
      </w:pPr>
      <w:r>
        <w:rPr>
          <w:b/>
          <w:sz w:val="24"/>
          <w:szCs w:val="24"/>
        </w:rPr>
        <w:t>Участници:</w:t>
      </w:r>
      <w:r>
        <w:rPr>
          <w:sz w:val="24"/>
          <w:szCs w:val="24"/>
        </w:rPr>
        <w:t xml:space="preserve"> В срещата участваха </w:t>
      </w:r>
      <w:r>
        <w:rPr>
          <w:b/>
          <w:sz w:val="24"/>
          <w:szCs w:val="24"/>
        </w:rPr>
        <w:t>42 представителя на заинтересован</w:t>
      </w:r>
      <w:r>
        <w:rPr>
          <w:b/>
          <w:sz w:val="24"/>
          <w:szCs w:val="24"/>
        </w:rPr>
        <w:t>ите страни</w:t>
      </w:r>
      <w:r>
        <w:rPr>
          <w:sz w:val="24"/>
          <w:szCs w:val="24"/>
        </w:rPr>
        <w:t xml:space="preserve"> от следните институции: РДПБЗН – Монтана, РДПБЗН Враца, РДПБЗН Видин, община Брегово, община Бойница, община Георги Дамяново, община Козлодуй, община Криводол, РИОСВ Монтана, РИОСВ Враца, Напоителни системи ЕАД - клон Мизия, Напоителни системи Е</w:t>
      </w:r>
      <w:r>
        <w:rPr>
          <w:sz w:val="24"/>
          <w:szCs w:val="24"/>
        </w:rPr>
        <w:t>АД - клон Видин, Областна администрация Монтана, Областна администрация Видин, Областна дирекция „Земеделие“ – Монтана, Басейнова дирекция „Дунавски район“, Басейнова дирекция „</w:t>
      </w:r>
      <w:proofErr w:type="spellStart"/>
      <w:r>
        <w:rPr>
          <w:sz w:val="24"/>
          <w:szCs w:val="24"/>
        </w:rPr>
        <w:t>Източнобеломорски</w:t>
      </w:r>
      <w:proofErr w:type="spellEnd"/>
      <w:r>
        <w:rPr>
          <w:sz w:val="24"/>
          <w:szCs w:val="24"/>
        </w:rPr>
        <w:t xml:space="preserve"> район“, Басейнова дирекция „</w:t>
      </w:r>
      <w:proofErr w:type="spellStart"/>
      <w:r>
        <w:rPr>
          <w:sz w:val="24"/>
          <w:szCs w:val="24"/>
        </w:rPr>
        <w:t>Западнобеломорски</w:t>
      </w:r>
      <w:proofErr w:type="spellEnd"/>
      <w:r>
        <w:rPr>
          <w:sz w:val="24"/>
          <w:szCs w:val="24"/>
        </w:rPr>
        <w:t xml:space="preserve"> район“, Басейно</w:t>
      </w:r>
      <w:r>
        <w:rPr>
          <w:sz w:val="24"/>
          <w:szCs w:val="24"/>
        </w:rPr>
        <w:t>ва дирекция „Черноморски район“, Световна банка, Министерство на околната среда и водите.</w:t>
      </w:r>
    </w:p>
    <w:p w:rsidR="006E37F4" w:rsidRDefault="006E37F4">
      <w:pPr>
        <w:widowControl w:val="0"/>
        <w:spacing w:after="0" w:line="320" w:lineRule="auto"/>
        <w:ind w:right="115"/>
        <w:jc w:val="both"/>
        <w:rPr>
          <w:sz w:val="24"/>
          <w:szCs w:val="24"/>
        </w:rPr>
      </w:pPr>
    </w:p>
    <w:p w:rsidR="006E37F4" w:rsidRDefault="000D152A">
      <w:pPr>
        <w:widowControl w:val="0"/>
        <w:spacing w:after="0" w:line="320" w:lineRule="auto"/>
        <w:ind w:right="115"/>
        <w:jc w:val="both"/>
        <w:rPr>
          <w:sz w:val="24"/>
          <w:szCs w:val="24"/>
        </w:rPr>
      </w:pPr>
      <w:r>
        <w:rPr>
          <w:sz w:val="24"/>
          <w:szCs w:val="24"/>
        </w:rPr>
        <w:t>Срещата беше открита от</w:t>
      </w:r>
      <w:r>
        <w:rPr>
          <w:b/>
          <w:sz w:val="24"/>
          <w:szCs w:val="24"/>
        </w:rPr>
        <w:t xml:space="preserve"> директора на Басейнова дирекция „Дунавски район“ г-н </w:t>
      </w:r>
      <w:r>
        <w:rPr>
          <w:b/>
          <w:sz w:val="24"/>
          <w:szCs w:val="24"/>
        </w:rPr>
        <w:lastRenderedPageBreak/>
        <w:t>Пламен Кръстев</w:t>
      </w:r>
      <w:r>
        <w:rPr>
          <w:sz w:val="24"/>
          <w:szCs w:val="24"/>
        </w:rPr>
        <w:t>. В обръщението си към представителите на заинтересованите страни участващ</w:t>
      </w:r>
      <w:r>
        <w:rPr>
          <w:sz w:val="24"/>
          <w:szCs w:val="24"/>
        </w:rPr>
        <w:t xml:space="preserve">и в срещата г-н Кръстев отбеляза значението на документите, обект на обществени консултации в цялостния процес на актуализация на Плана за управление на риска от наводнения в Дунавски район за </w:t>
      </w:r>
      <w:proofErr w:type="spellStart"/>
      <w:r>
        <w:rPr>
          <w:sz w:val="24"/>
          <w:szCs w:val="24"/>
        </w:rPr>
        <w:t>басейново</w:t>
      </w:r>
      <w:proofErr w:type="spellEnd"/>
      <w:r>
        <w:rPr>
          <w:sz w:val="24"/>
          <w:szCs w:val="24"/>
        </w:rPr>
        <w:t xml:space="preserve"> управление (ДРБУ). Той отправи апел към участниците з</w:t>
      </w:r>
      <w:r>
        <w:rPr>
          <w:sz w:val="24"/>
          <w:szCs w:val="24"/>
        </w:rPr>
        <w:t xml:space="preserve">а активност по време на срещата и им пожела ползотворна работа, която да допринесе за намаляване на щетите от наводнения, опазване на населените места и възможностите за развитие на икономиката. </w:t>
      </w:r>
    </w:p>
    <w:p w:rsidR="006E37F4" w:rsidRDefault="000D152A">
      <w:pPr>
        <w:widowControl w:val="0"/>
        <w:spacing w:after="0" w:line="320" w:lineRule="auto"/>
        <w:ind w:right="115"/>
        <w:jc w:val="both"/>
        <w:rPr>
          <w:sz w:val="24"/>
          <w:szCs w:val="24"/>
        </w:rPr>
      </w:pPr>
      <w:r>
        <w:rPr>
          <w:b/>
          <w:sz w:val="24"/>
          <w:szCs w:val="24"/>
        </w:rPr>
        <w:t>Г-жа Румелия Петрова – Директор на дирекция „Планове и разре</w:t>
      </w:r>
      <w:r>
        <w:rPr>
          <w:b/>
          <w:sz w:val="24"/>
          <w:szCs w:val="24"/>
        </w:rPr>
        <w:t xml:space="preserve">шителни“ в Басейнова дирекция „Дунавски район”, </w:t>
      </w:r>
      <w:r>
        <w:rPr>
          <w:sz w:val="24"/>
          <w:szCs w:val="24"/>
        </w:rPr>
        <w:t xml:space="preserve">представи програмата, основните цели и очаквани резултати от срещата. Тя отбеляза, че това е първа среща за Дунавски район за </w:t>
      </w:r>
      <w:proofErr w:type="spellStart"/>
      <w:r>
        <w:rPr>
          <w:sz w:val="24"/>
          <w:szCs w:val="24"/>
        </w:rPr>
        <w:t>басейново</w:t>
      </w:r>
      <w:proofErr w:type="spellEnd"/>
      <w:r>
        <w:rPr>
          <w:sz w:val="24"/>
          <w:szCs w:val="24"/>
        </w:rPr>
        <w:t xml:space="preserve"> управление, на която ще се представят и обсъждат ПОРН за ДРБУ и Районите</w:t>
      </w:r>
      <w:r>
        <w:rPr>
          <w:sz w:val="24"/>
          <w:szCs w:val="24"/>
        </w:rPr>
        <w:t xml:space="preserve"> със значителен потенциален риск от наводнения за поречията на реките Огоста и западно от Огоста, както и за река Дунав. Г-жа Петрова изрази надежда, че независимо от необичайния формат – онлайн, наложен от епидемиологичната обстановка, срещата ще бъде пол</w:t>
      </w:r>
      <w:r>
        <w:rPr>
          <w:sz w:val="24"/>
          <w:szCs w:val="24"/>
        </w:rPr>
        <w:t xml:space="preserve">зотворна и представителите на всички заинтересовани страни ще бъдат активни участници в дискусиите.  </w:t>
      </w:r>
    </w:p>
    <w:p w:rsidR="006E37F4" w:rsidRDefault="000D152A">
      <w:pPr>
        <w:widowControl w:val="0"/>
        <w:spacing w:after="0" w:line="320" w:lineRule="auto"/>
        <w:ind w:right="11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Г-н Васил Василев, </w:t>
      </w:r>
      <w:r>
        <w:rPr>
          <w:sz w:val="24"/>
          <w:szCs w:val="24"/>
        </w:rPr>
        <w:t>водещ експерт от екипа на МБВР при разработването на Предварителната оценка на риска от наводнения (ПОРН), представи накратко Методикат</w:t>
      </w:r>
      <w:r>
        <w:rPr>
          <w:sz w:val="24"/>
          <w:szCs w:val="24"/>
        </w:rPr>
        <w:t xml:space="preserve">а за ПОРН. Той отбеляза, че целта на Предварителната оценка на риска от наводнения като част от процеса на актуализация на Плана за управление на риска от наводнения е да се направи бърз предварителен преглед върху заплахата и риска от наводнения в цялата </w:t>
      </w:r>
      <w:r>
        <w:rPr>
          <w:sz w:val="24"/>
          <w:szCs w:val="24"/>
        </w:rPr>
        <w:t>страна, като на базата на определени критерии се идентифицират райони, в които заплахата се оценява като по-висока. Анализите трябва да се базират на налична или лесно достъпна актуална информация, както за заплахата, така и за риска, като се отчетат и кли</w:t>
      </w:r>
      <w:r>
        <w:rPr>
          <w:sz w:val="24"/>
          <w:szCs w:val="24"/>
        </w:rPr>
        <w:t xml:space="preserve">матичните промени и влиянието им върху заплахата и риска от наводнения. Г-н Василев отбеляза, че Методиката за ПОРН (утвърдена със заповед на Министъра на околната среда и водите на 20.11.2020 г.) актуализира нормативните документи, използвани при първото </w:t>
      </w:r>
      <w:r>
        <w:rPr>
          <w:sz w:val="24"/>
          <w:szCs w:val="24"/>
        </w:rPr>
        <w:t xml:space="preserve">докладване на Директива за наводненията (ДН) през 2011-2013 г. Методиката представлява общ документ, включващ в себе си подходи и стъпки, както за извършване на дейностите по определяне на минали и бъдещи </w:t>
      </w:r>
      <w:r>
        <w:rPr>
          <w:sz w:val="24"/>
          <w:szCs w:val="24"/>
        </w:rPr>
        <w:lastRenderedPageBreak/>
        <w:t>наводнения със значителни неблагоприятни последици,</w:t>
      </w:r>
      <w:r>
        <w:rPr>
          <w:sz w:val="24"/>
          <w:szCs w:val="24"/>
        </w:rPr>
        <w:t xml:space="preserve"> така и райони със значителен потенциален риск от наводнения. Г-н Василев подчерта, че подходите за изпълнение заложени в методиката са съобразени с информационната обезпеченост в България. От презентацията стана ясно, че по отношение на критериите и праго</w:t>
      </w:r>
      <w:r>
        <w:rPr>
          <w:sz w:val="24"/>
          <w:szCs w:val="24"/>
        </w:rPr>
        <w:t>вете за значителни неблагоприятни последици от наводнения Методиката въвежда световни практики за обхващане на основните категории риск. Използваните категории за оценка на риска в Директивата за наводненията и съответно в Методиката са: човешко здраве, ст</w:t>
      </w:r>
      <w:r>
        <w:rPr>
          <w:sz w:val="24"/>
          <w:szCs w:val="24"/>
        </w:rPr>
        <w:t>опанска дейност, околна среда и културно наследство. Като част от Методиката е съставена специализирана анкета за описание на минали наводнения, която да бъде използвана от органите на местната власт и институциите, имащи отговорности към управлението на р</w:t>
      </w:r>
      <w:r>
        <w:rPr>
          <w:sz w:val="24"/>
          <w:szCs w:val="24"/>
        </w:rPr>
        <w:t>иска от наводнения в периода между два цикъла съгласно ДН. В заключение г-н Василев подчерта, че е съставена специализирана база данни на национално ниво за заплахата и риска от наводнения, която би могла да се използва и за други анализи, статистики и дей</w:t>
      </w:r>
      <w:r>
        <w:rPr>
          <w:sz w:val="24"/>
          <w:szCs w:val="24"/>
        </w:rPr>
        <w:t>ности свързани с риска от наводнения.</w:t>
      </w:r>
    </w:p>
    <w:p w:rsidR="006E37F4" w:rsidRDefault="000D152A">
      <w:pPr>
        <w:widowControl w:val="0"/>
        <w:spacing w:after="0" w:line="320" w:lineRule="auto"/>
        <w:ind w:right="11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Г-жа Надя Цветкова, </w:t>
      </w:r>
      <w:r>
        <w:rPr>
          <w:sz w:val="24"/>
          <w:szCs w:val="24"/>
        </w:rPr>
        <w:t xml:space="preserve">водещ експерт от екипа на МБВР при разработването на ПОРН, представи накратко проекта на Актуализирана предварителна оценка на риска от наводнения за Дунавски район за </w:t>
      </w:r>
      <w:proofErr w:type="spellStart"/>
      <w:r>
        <w:rPr>
          <w:sz w:val="24"/>
          <w:szCs w:val="24"/>
        </w:rPr>
        <w:t>басейново</w:t>
      </w:r>
      <w:proofErr w:type="spellEnd"/>
      <w:r>
        <w:rPr>
          <w:sz w:val="24"/>
          <w:szCs w:val="24"/>
        </w:rPr>
        <w:t xml:space="preserve"> управление. Г-жа Цве</w:t>
      </w:r>
      <w:r>
        <w:rPr>
          <w:sz w:val="24"/>
          <w:szCs w:val="24"/>
        </w:rPr>
        <w:t xml:space="preserve">ткова отбеляза, че Актуализирана предварителна оценка на риска от наводнения за Дунавски район за </w:t>
      </w:r>
      <w:proofErr w:type="spellStart"/>
      <w:r>
        <w:rPr>
          <w:sz w:val="24"/>
          <w:szCs w:val="24"/>
        </w:rPr>
        <w:t>басейново</w:t>
      </w:r>
      <w:proofErr w:type="spellEnd"/>
      <w:r>
        <w:rPr>
          <w:sz w:val="24"/>
          <w:szCs w:val="24"/>
        </w:rPr>
        <w:t xml:space="preserve"> управление е извършена съгласно Методиката за предварителна оценка на риска от наводнения от 2020 г. Тя поясни, че целта на ПОРН е определяне на рай</w:t>
      </w:r>
      <w:r>
        <w:rPr>
          <w:sz w:val="24"/>
          <w:szCs w:val="24"/>
        </w:rPr>
        <w:t>они със значителен потенциален риск от наводнения (РЗПРН), за които съществува значителен потенциален риск от наводнения и вероятност за значителен потенциален риск от наводнения. ПОРН съдържа информация за минали наводнения със значителни неблагоприятни п</w:t>
      </w:r>
      <w:r>
        <w:rPr>
          <w:sz w:val="24"/>
          <w:szCs w:val="24"/>
        </w:rPr>
        <w:t>оследици, сериозни минали наводнения, които в бъдеще могат да предизвикат значими неблагоприятни последици и потенциални бъдещи наводнения със значими потенциални неблагоприятни последици. В презентацията си г-жа Цветкова представи подробно процеса на съби</w:t>
      </w:r>
      <w:r>
        <w:rPr>
          <w:sz w:val="24"/>
          <w:szCs w:val="24"/>
        </w:rPr>
        <w:t xml:space="preserve">ране на данни за изготвяне на ПОРН и групите използвани данни: бази данни поддържани в БД и МОСВ; информация относно административно-териториалното и териториалното деление на България; топографски данни; хидрографските и </w:t>
      </w:r>
      <w:proofErr w:type="spellStart"/>
      <w:r>
        <w:rPr>
          <w:sz w:val="24"/>
          <w:szCs w:val="24"/>
        </w:rPr>
        <w:t>хидро-метеорологични</w:t>
      </w:r>
      <w:proofErr w:type="spellEnd"/>
      <w:r>
        <w:rPr>
          <w:sz w:val="24"/>
          <w:szCs w:val="24"/>
        </w:rPr>
        <w:t xml:space="preserve"> данни; </w:t>
      </w:r>
      <w:proofErr w:type="spellStart"/>
      <w:r>
        <w:rPr>
          <w:sz w:val="24"/>
          <w:szCs w:val="24"/>
        </w:rPr>
        <w:t>данни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миналите наводнения; </w:t>
      </w:r>
      <w:r>
        <w:rPr>
          <w:sz w:val="24"/>
          <w:szCs w:val="24"/>
        </w:rPr>
        <w:lastRenderedPageBreak/>
        <w:t>данни за елементи на риска; данните за дългосрочно развитие на територията; данни за климатичните промени; данни за вероятност от повторение на наводненията. Г-жа Цветкова специално отбеляза широкия кръг заинтересовани страни, които</w:t>
      </w:r>
      <w:r>
        <w:rPr>
          <w:sz w:val="24"/>
          <w:szCs w:val="24"/>
        </w:rPr>
        <w:t xml:space="preserve"> са потърсени за информация в процеса на събиране на данни за изготвянето на ПОРН. В анкетното изследване за описание на минали наводнения са поканени за участие около 160 институции и организации. В допълнение са проведени и шест работни срещи в София, Мо</w:t>
      </w:r>
      <w:r>
        <w:rPr>
          <w:sz w:val="24"/>
          <w:szCs w:val="24"/>
        </w:rPr>
        <w:t>нтана, Плевен и Русе. Г-жа Цветкова отбеляза високия процент на заинтересовани страни, които са се отзовали на запитванията и срещите, и благодари на всички за съдействието. Тя представи обобщените данни, според които в периода 2011 – 2019 г. в Дунавски РБ</w:t>
      </w:r>
      <w:r>
        <w:rPr>
          <w:sz w:val="24"/>
          <w:szCs w:val="24"/>
        </w:rPr>
        <w:t>У са регистрирани 217 наводнения, случили се в 341 местоположения. Информацията за минали наводнения беше детайлно представена и по основни поречия в ДРБУ. Разгледани бяха графики представящи информация за минали наводнения със значими неблагоприятни после</w:t>
      </w:r>
      <w:r>
        <w:rPr>
          <w:sz w:val="24"/>
          <w:szCs w:val="24"/>
        </w:rPr>
        <w:t xml:space="preserve">дици, както и графики представящи местоположения на бъдещи наводнения. В заключение г-жа Цветкова обобщи, че в резултат на събраната информация в Дунавски район за </w:t>
      </w:r>
      <w:proofErr w:type="spellStart"/>
      <w:r>
        <w:rPr>
          <w:sz w:val="24"/>
          <w:szCs w:val="24"/>
        </w:rPr>
        <w:t>басейново</w:t>
      </w:r>
      <w:proofErr w:type="spellEnd"/>
      <w:r>
        <w:rPr>
          <w:sz w:val="24"/>
          <w:szCs w:val="24"/>
        </w:rPr>
        <w:t xml:space="preserve"> управление са определени 35 Района със значителен потенциален риск от наводнение, </w:t>
      </w:r>
      <w:r>
        <w:rPr>
          <w:sz w:val="24"/>
          <w:szCs w:val="24"/>
        </w:rPr>
        <w:t xml:space="preserve">от които 8 нови, като в следващата презентация подробно ще бъдат разгледани РЗПРН за поречията на реките Огоста и западно от Огоста, както и за река Дунав. </w:t>
      </w:r>
    </w:p>
    <w:p w:rsidR="006E37F4" w:rsidRDefault="000D152A">
      <w:pPr>
        <w:widowControl w:val="0"/>
        <w:spacing w:after="0" w:line="320" w:lineRule="auto"/>
        <w:ind w:right="11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Г-жа Надя Цветкова </w:t>
      </w:r>
      <w:r>
        <w:rPr>
          <w:sz w:val="24"/>
          <w:szCs w:val="24"/>
        </w:rPr>
        <w:t>направи интерактивно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представяне на шестте Района със значителен потенциален рис</w:t>
      </w:r>
      <w:r>
        <w:rPr>
          <w:sz w:val="24"/>
          <w:szCs w:val="24"/>
        </w:rPr>
        <w:t>к от наводнения, попадащи в обхвата на срещата:</w:t>
      </w:r>
    </w:p>
    <w:p w:rsidR="006E37F4" w:rsidRDefault="000D152A">
      <w:pPr>
        <w:widowControl w:val="0"/>
        <w:spacing w:after="0" w:line="320" w:lineRule="auto"/>
        <w:ind w:right="115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РЗПРН р. Арчар - гр. Димово (BG1_APSFR_WO_051);</w:t>
      </w:r>
    </w:p>
    <w:p w:rsidR="006E37F4" w:rsidRDefault="000D152A">
      <w:pPr>
        <w:widowControl w:val="0"/>
        <w:spacing w:after="0" w:line="320" w:lineRule="auto"/>
        <w:ind w:right="115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РЗПРН р. </w:t>
      </w:r>
      <w:proofErr w:type="spellStart"/>
      <w:r>
        <w:rPr>
          <w:sz w:val="24"/>
          <w:szCs w:val="24"/>
        </w:rPr>
        <w:t>Дългоделска</w:t>
      </w:r>
      <w:proofErr w:type="spellEnd"/>
      <w:r>
        <w:rPr>
          <w:sz w:val="24"/>
          <w:szCs w:val="24"/>
        </w:rPr>
        <w:t xml:space="preserve"> - от с. Дълги дел до с. Гаврил Геново (BG1_APSFR_OG_101);</w:t>
      </w:r>
    </w:p>
    <w:p w:rsidR="006E37F4" w:rsidRDefault="000D152A">
      <w:pPr>
        <w:widowControl w:val="0"/>
        <w:spacing w:after="0" w:line="320" w:lineRule="auto"/>
        <w:ind w:right="115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РЗПРН р. Берковска - гр. Берковица (BG1_APSFR_OG_061);</w:t>
      </w:r>
    </w:p>
    <w:p w:rsidR="006E37F4" w:rsidRDefault="000D152A">
      <w:pPr>
        <w:widowControl w:val="0"/>
        <w:spacing w:after="0" w:line="320" w:lineRule="auto"/>
        <w:ind w:right="115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РЗПРН р. </w:t>
      </w:r>
      <w:proofErr w:type="spellStart"/>
      <w:r>
        <w:rPr>
          <w:sz w:val="24"/>
          <w:szCs w:val="24"/>
        </w:rPr>
        <w:t>Въртешница</w:t>
      </w:r>
      <w:proofErr w:type="spellEnd"/>
      <w:r>
        <w:rPr>
          <w:sz w:val="24"/>
          <w:szCs w:val="24"/>
        </w:rPr>
        <w:t xml:space="preserve">  - от с. Бели извор до с. Власатица (BG1_APSFR_OG_012);</w:t>
      </w:r>
    </w:p>
    <w:p w:rsidR="006E37F4" w:rsidRDefault="000D152A">
      <w:pPr>
        <w:widowControl w:val="0"/>
        <w:spacing w:after="0" w:line="320" w:lineRule="auto"/>
        <w:ind w:right="115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РЗПРН р. Скът - от гр. Бяла Слатина до гр. Мизия (BG1_APSFR_OG_100);</w:t>
      </w:r>
    </w:p>
    <w:p w:rsidR="006E37F4" w:rsidRDefault="000D152A">
      <w:pPr>
        <w:widowControl w:val="0"/>
        <w:spacing w:after="0" w:line="320" w:lineRule="auto"/>
        <w:ind w:right="115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РЗПРН р. Дунав (BG1_APSFR_DU_001).</w:t>
      </w:r>
    </w:p>
    <w:p w:rsidR="006E37F4" w:rsidRDefault="000D152A">
      <w:pPr>
        <w:spacing w:line="32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Ст. инспектор Иван Иванов - РДПБЗН Монтана,</w:t>
      </w:r>
      <w:r>
        <w:rPr>
          <w:color w:val="000000"/>
          <w:sz w:val="24"/>
          <w:szCs w:val="24"/>
        </w:rPr>
        <w:t xml:space="preserve"> отправи въпрос дали за рек</w:t>
      </w:r>
      <w:r>
        <w:rPr>
          <w:color w:val="000000"/>
          <w:sz w:val="24"/>
          <w:szCs w:val="24"/>
        </w:rPr>
        <w:t xml:space="preserve">а Огоста, след язовир Огоста, е включено влиянието на хидротехническото съоръжение при определяне на районите с значим риск. В отговор </w:t>
      </w:r>
      <w:r>
        <w:rPr>
          <w:b/>
          <w:color w:val="000000"/>
          <w:sz w:val="24"/>
          <w:szCs w:val="24"/>
        </w:rPr>
        <w:t>г-н Васил Василев</w:t>
      </w:r>
      <w:r>
        <w:rPr>
          <w:color w:val="000000"/>
          <w:sz w:val="24"/>
          <w:szCs w:val="24"/>
        </w:rPr>
        <w:t xml:space="preserve"> поясни, че за язовир Огоста не е получена информация - като данни от институциите и от консултациите съ</w:t>
      </w:r>
      <w:r>
        <w:rPr>
          <w:color w:val="000000"/>
          <w:sz w:val="24"/>
          <w:szCs w:val="24"/>
        </w:rPr>
        <w:t xml:space="preserve">с </w:t>
      </w:r>
      <w:r>
        <w:rPr>
          <w:color w:val="000000"/>
          <w:sz w:val="24"/>
          <w:szCs w:val="24"/>
        </w:rPr>
        <w:lastRenderedPageBreak/>
        <w:t xml:space="preserve">заинтересованите страни, поради това този язовир не е включен при определяне на районите със значим риск. </w:t>
      </w:r>
      <w:r>
        <w:rPr>
          <w:b/>
          <w:color w:val="000000"/>
          <w:sz w:val="24"/>
          <w:szCs w:val="24"/>
        </w:rPr>
        <w:t xml:space="preserve">Инж. Владимир </w:t>
      </w:r>
      <w:proofErr w:type="spellStart"/>
      <w:r>
        <w:rPr>
          <w:b/>
          <w:color w:val="000000"/>
          <w:sz w:val="24"/>
          <w:szCs w:val="24"/>
        </w:rPr>
        <w:t>Кукурин</w:t>
      </w:r>
      <w:proofErr w:type="spellEnd"/>
      <w:r>
        <w:rPr>
          <w:b/>
          <w:color w:val="000000"/>
          <w:sz w:val="24"/>
          <w:szCs w:val="24"/>
        </w:rPr>
        <w:t>, експерт от екипа на МБВР</w:t>
      </w:r>
      <w:r>
        <w:rPr>
          <w:color w:val="000000"/>
          <w:sz w:val="24"/>
          <w:szCs w:val="24"/>
        </w:rPr>
        <w:t>, допълни, че язовирът не е включен директно като източник на допълнителна заплаха, но неговото влиян</w:t>
      </w:r>
      <w:r>
        <w:rPr>
          <w:color w:val="000000"/>
          <w:sz w:val="24"/>
          <w:szCs w:val="24"/>
        </w:rPr>
        <w:t xml:space="preserve">ие ще бъде включено в по-нататъшните изследвания, тъй като неговото влияние се отчита косвено при определянето на водните количества, които постъпват към РЗПРН. </w:t>
      </w:r>
      <w:r>
        <w:rPr>
          <w:b/>
          <w:color w:val="000000"/>
          <w:sz w:val="24"/>
          <w:szCs w:val="24"/>
        </w:rPr>
        <w:t>Г-жа Румелия Петрова</w:t>
      </w:r>
      <w:r>
        <w:rPr>
          <w:color w:val="000000"/>
          <w:sz w:val="24"/>
          <w:szCs w:val="24"/>
        </w:rPr>
        <w:t xml:space="preserve"> поясни, че косвеното влияние на язовира ще бъде отчетено на следващия етап</w:t>
      </w:r>
      <w:r>
        <w:rPr>
          <w:color w:val="000000"/>
          <w:sz w:val="24"/>
          <w:szCs w:val="24"/>
        </w:rPr>
        <w:t xml:space="preserve">, когато се изготвят картите на заплахата.  </w:t>
      </w:r>
    </w:p>
    <w:p w:rsidR="006E37F4" w:rsidRDefault="000D152A">
      <w:pPr>
        <w:spacing w:line="32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Срещата беше закрита от г-жа </w:t>
      </w:r>
      <w:r>
        <w:rPr>
          <w:b/>
          <w:color w:val="000000"/>
          <w:sz w:val="24"/>
          <w:szCs w:val="24"/>
        </w:rPr>
        <w:t>Румелия Петрова</w:t>
      </w:r>
      <w:r>
        <w:rPr>
          <w:color w:val="000000"/>
          <w:sz w:val="24"/>
          <w:szCs w:val="24"/>
        </w:rPr>
        <w:t xml:space="preserve">, която благодари на </w:t>
      </w:r>
      <w:proofErr w:type="spellStart"/>
      <w:r>
        <w:rPr>
          <w:color w:val="000000"/>
          <w:sz w:val="24"/>
          <w:szCs w:val="24"/>
        </w:rPr>
        <w:t>презентаторите</w:t>
      </w:r>
      <w:proofErr w:type="spellEnd"/>
      <w:r>
        <w:rPr>
          <w:color w:val="000000"/>
          <w:sz w:val="24"/>
          <w:szCs w:val="24"/>
        </w:rPr>
        <w:t xml:space="preserve"> и участниците в срещата. Тя обобщи направените презентации и работата по подготовка на Предварителната оценка на риска от наводнени</w:t>
      </w:r>
      <w:r>
        <w:rPr>
          <w:color w:val="000000"/>
          <w:sz w:val="24"/>
          <w:szCs w:val="24"/>
        </w:rPr>
        <w:t>я в ДРБУ, като подчерта, че Методиката за ПОРН е подобрена и много по-задълбочена в сравнение с използваната при предишния цикъл на разработване на ПУРН. Г-жа Петрова подчерта, че очаква така определените РЗПРН да дадат вярната насока за работа в следващит</w:t>
      </w:r>
      <w:r>
        <w:rPr>
          <w:color w:val="000000"/>
          <w:sz w:val="24"/>
          <w:szCs w:val="24"/>
        </w:rPr>
        <w:t xml:space="preserve">е етапи за изготвяне на актуализирания План за управление на риска от наводнения за Дунавски район за </w:t>
      </w:r>
      <w:proofErr w:type="spellStart"/>
      <w:r>
        <w:rPr>
          <w:color w:val="000000"/>
          <w:sz w:val="24"/>
          <w:szCs w:val="24"/>
        </w:rPr>
        <w:t>басейново</w:t>
      </w:r>
      <w:proofErr w:type="spellEnd"/>
      <w:r>
        <w:rPr>
          <w:color w:val="000000"/>
          <w:sz w:val="24"/>
          <w:szCs w:val="24"/>
        </w:rPr>
        <w:t xml:space="preserve"> управление. Тя припомни, че Проектът на актуализираната ПОРН е публикуван на интернет страницата на Басейнова дирекция „Дунавски район“ за общес</w:t>
      </w:r>
      <w:r>
        <w:rPr>
          <w:color w:val="000000"/>
          <w:sz w:val="24"/>
          <w:szCs w:val="24"/>
        </w:rPr>
        <w:t>твени консултации на 17 март 2021 г., а крайният срок за представяне на становища по документа е 7 юни, 2021 г.</w:t>
      </w:r>
    </w:p>
    <w:p w:rsidR="006E37F4" w:rsidRDefault="000D152A">
      <w:pPr>
        <w:spacing w:line="32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Участниците в срещата изразиха висока удовлетвореност от предоставената информация по време на срещата. Най-голяма е удовлетвореността от Интера</w:t>
      </w:r>
      <w:r>
        <w:rPr>
          <w:color w:val="000000"/>
          <w:sz w:val="24"/>
          <w:szCs w:val="24"/>
        </w:rPr>
        <w:t>ктивното представяне на отделните РЗПРН. В попълнените анкети за обратна връзка 75% от представителите на заинтересованите страни заявяват, че представената в тази сесия информация отговаря напълно на очакванията им и е дала търсената информация. Останалит</w:t>
      </w:r>
      <w:r>
        <w:rPr>
          <w:color w:val="000000"/>
          <w:sz w:val="24"/>
          <w:szCs w:val="24"/>
        </w:rPr>
        <w:t>е 25% от участвалите в анкетата също оценяват положително Интерактивното представяне на отделните РЗПРН, като заявяват, че то по-скоро е отговорило на очакванията им. Половината от анкетираните оценяват презентацията „Методика за предварителна оценка на ри</w:t>
      </w:r>
      <w:r>
        <w:rPr>
          <w:color w:val="000000"/>
          <w:sz w:val="24"/>
          <w:szCs w:val="24"/>
        </w:rPr>
        <w:t xml:space="preserve">ска от наводнения“ като напълно отговаряща на очакванията им, а за останалите участници в анкетата (50%) тази презентация по-скоро е отговорила на очакванията. 62,5% от анкетираните са напълно удовлетворени от презентацията на </w:t>
      </w:r>
      <w:r>
        <w:rPr>
          <w:color w:val="000000"/>
          <w:sz w:val="24"/>
          <w:szCs w:val="24"/>
        </w:rPr>
        <w:lastRenderedPageBreak/>
        <w:t>проекта на Предварителна оцен</w:t>
      </w:r>
      <w:r>
        <w:rPr>
          <w:color w:val="000000"/>
          <w:sz w:val="24"/>
          <w:szCs w:val="24"/>
        </w:rPr>
        <w:t xml:space="preserve">ка на риска от наводнения за РБУ, а 37,5% заявяват че презентацията по-скоро е отговорила на техните очаквания. </w:t>
      </w:r>
    </w:p>
    <w:p w:rsidR="006E37F4" w:rsidRDefault="000D152A">
      <w:pPr>
        <w:spacing w:line="320" w:lineRule="auto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Приложения:</w:t>
      </w:r>
    </w:p>
    <w:p w:rsidR="006E37F4" w:rsidRDefault="000D15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Дневен ред</w:t>
      </w:r>
    </w:p>
    <w:p w:rsidR="006E37F4" w:rsidRDefault="000D15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Презентация: Методика за предварителна оценка на риска от наводнения</w:t>
      </w:r>
    </w:p>
    <w:p w:rsidR="006E37F4" w:rsidRDefault="000D15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Презентация: Проект на Предварителна оценка на риск</w:t>
      </w:r>
      <w:r>
        <w:rPr>
          <w:rFonts w:eastAsia="Calibri" w:cs="Calibri"/>
          <w:color w:val="000000"/>
          <w:sz w:val="24"/>
          <w:szCs w:val="24"/>
        </w:rPr>
        <w:t>а от наводнения за РБУ</w:t>
      </w:r>
    </w:p>
    <w:p w:rsidR="006E37F4" w:rsidRDefault="000D15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eastAsia="Calibri" w:cs="Calibri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eastAsia="Calibri" w:cs="Calibri"/>
          <w:color w:val="000000"/>
          <w:sz w:val="24"/>
          <w:szCs w:val="24"/>
        </w:rPr>
        <w:t>Презентация: РЗПРН в поречията на реките Огоста и западно от Огоста и р. Дунав</w:t>
      </w:r>
    </w:p>
    <w:sectPr w:rsidR="006E37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52A" w:rsidRDefault="000D152A">
      <w:pPr>
        <w:spacing w:after="0" w:line="240" w:lineRule="auto"/>
      </w:pPr>
      <w:r>
        <w:separator/>
      </w:r>
    </w:p>
  </w:endnote>
  <w:endnote w:type="continuationSeparator" w:id="0">
    <w:p w:rsidR="000D152A" w:rsidRDefault="000D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F4" w:rsidRDefault="006E37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F4" w:rsidRDefault="006E37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F4" w:rsidRDefault="006E37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52A" w:rsidRDefault="000D152A">
      <w:pPr>
        <w:spacing w:after="0" w:line="240" w:lineRule="auto"/>
      </w:pPr>
      <w:r>
        <w:separator/>
      </w:r>
    </w:p>
  </w:footnote>
  <w:footnote w:type="continuationSeparator" w:id="0">
    <w:p w:rsidR="000D152A" w:rsidRDefault="000D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F4" w:rsidRDefault="006E37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F4" w:rsidRDefault="006E37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  <w:tbl>
    <w:tblPr>
      <w:tblStyle w:val="afb"/>
      <w:tblW w:w="10173" w:type="dxa"/>
      <w:tblBorders>
        <w:bottom w:val="single" w:sz="4" w:space="0" w:color="00B050"/>
      </w:tblBorders>
      <w:tblLayout w:type="fixed"/>
      <w:tblLook w:val="0000" w:firstRow="0" w:lastRow="0" w:firstColumn="0" w:lastColumn="0" w:noHBand="0" w:noVBand="0"/>
    </w:tblPr>
    <w:tblGrid>
      <w:gridCol w:w="1951"/>
      <w:gridCol w:w="5754"/>
      <w:gridCol w:w="2468"/>
    </w:tblGrid>
    <w:tr w:rsidR="006E37F4">
      <w:trPr>
        <w:trHeight w:val="1585"/>
      </w:trPr>
      <w:tc>
        <w:tcPr>
          <w:tcW w:w="1951" w:type="dxa"/>
          <w:shd w:val="clear" w:color="auto" w:fill="auto"/>
        </w:tcPr>
        <w:p w:rsidR="006E37F4" w:rsidRDefault="006E37F4">
          <w:pPr>
            <w:tabs>
              <w:tab w:val="center" w:pos="4536"/>
              <w:tab w:val="right" w:pos="9072"/>
            </w:tabs>
            <w:spacing w:before="60"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6E37F4" w:rsidRDefault="000D152A">
          <w:pPr>
            <w:tabs>
              <w:tab w:val="center" w:pos="4536"/>
              <w:tab w:val="right" w:pos="9072"/>
            </w:tabs>
            <w:spacing w:after="4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inline distT="0" distB="0" distL="0" distR="0">
                <wp:extent cx="1280795" cy="1018540"/>
                <wp:effectExtent l="0" t="0" r="0" b="0"/>
                <wp:docPr id="8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795" cy="10185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4" w:type="dxa"/>
          <w:shd w:val="clear" w:color="auto" w:fill="auto"/>
          <w:vAlign w:val="center"/>
        </w:tcPr>
        <w:p w:rsidR="006E37F4" w:rsidRDefault="000D152A">
          <w:pPr>
            <w:spacing w:line="240" w:lineRule="auto"/>
            <w:jc w:val="center"/>
            <w:rPr>
              <w:rFonts w:ascii="Verdana" w:eastAsia="Verdana" w:hAnsi="Verdana" w:cs="Verdana"/>
              <w:i/>
              <w:color w:val="808080"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color w:val="808080"/>
              <w:sz w:val="14"/>
              <w:szCs w:val="14"/>
            </w:rPr>
            <w:t xml:space="preserve">Проект BG16M1OP002-4.005-0001-C02: </w:t>
          </w:r>
        </w:p>
        <w:p w:rsidR="006E37F4" w:rsidRDefault="000D152A">
          <w:pPr>
            <w:spacing w:line="240" w:lineRule="auto"/>
            <w:jc w:val="center"/>
            <w:rPr>
              <w:rFonts w:ascii="Verdana" w:eastAsia="Verdana" w:hAnsi="Verdana" w:cs="Verdana"/>
              <w:i/>
              <w:color w:val="808080"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color w:val="808080"/>
              <w:sz w:val="14"/>
              <w:szCs w:val="14"/>
            </w:rPr>
            <w:t>ПУРН – втори цикъл 2022-2027, финансиран по ОПОС 2014-2020 г.“</w:t>
          </w:r>
        </w:p>
        <w:p w:rsidR="006E37F4" w:rsidRDefault="006E37F4">
          <w:pPr>
            <w:spacing w:line="240" w:lineRule="auto"/>
            <w:jc w:val="center"/>
            <w:rPr>
              <w:rFonts w:ascii="Verdana" w:eastAsia="Verdana" w:hAnsi="Verdana" w:cs="Verdana"/>
              <w:i/>
              <w:color w:val="1F4E79"/>
              <w:sz w:val="14"/>
              <w:szCs w:val="14"/>
            </w:rPr>
          </w:pPr>
        </w:p>
        <w:p w:rsidR="006E37F4" w:rsidRDefault="006E37F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468" w:type="dxa"/>
          <w:shd w:val="clear" w:color="auto" w:fill="auto"/>
        </w:tcPr>
        <w:p w:rsidR="006E37F4" w:rsidRDefault="006E37F4">
          <w:pPr>
            <w:tabs>
              <w:tab w:val="center" w:pos="4536"/>
              <w:tab w:val="right" w:pos="9072"/>
            </w:tabs>
            <w:spacing w:before="80" w:after="0" w:line="240" w:lineRule="auto"/>
            <w:jc w:val="center"/>
            <w:rPr>
              <w:rFonts w:ascii="Arial" w:eastAsia="Arial" w:hAnsi="Arial"/>
              <w:sz w:val="20"/>
              <w:szCs w:val="20"/>
            </w:rPr>
          </w:pPr>
        </w:p>
        <w:p w:rsidR="006E37F4" w:rsidRDefault="000D152A">
          <w:pPr>
            <w:tabs>
              <w:tab w:val="center" w:pos="4536"/>
              <w:tab w:val="right" w:pos="9072"/>
            </w:tabs>
            <w:spacing w:before="80" w:after="0" w:line="240" w:lineRule="auto"/>
            <w:jc w:val="center"/>
            <w:rPr>
              <w:rFonts w:ascii="Arial" w:eastAsia="Arial" w:hAnsi="Arial"/>
              <w:sz w:val="20"/>
              <w:szCs w:val="20"/>
            </w:rPr>
          </w:pPr>
          <w:r>
            <w:rPr>
              <w:rFonts w:ascii="Arial" w:eastAsia="Arial" w:hAnsi="Arial"/>
              <w:noProof/>
              <w:sz w:val="20"/>
              <w:szCs w:val="20"/>
            </w:rPr>
            <w:drawing>
              <wp:inline distT="0" distB="0" distL="0" distR="0">
                <wp:extent cx="584200" cy="394335"/>
                <wp:effectExtent l="0" t="0" r="0" b="0"/>
                <wp:docPr id="8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200" cy="3943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6E37F4" w:rsidRDefault="006E37F4">
          <w:pPr>
            <w:spacing w:after="0" w:line="240" w:lineRule="auto"/>
            <w:jc w:val="center"/>
            <w:rPr>
              <w:rFonts w:ascii="Arial" w:eastAsia="Arial" w:hAnsi="Arial"/>
              <w:color w:val="808080"/>
              <w:sz w:val="4"/>
              <w:szCs w:val="4"/>
            </w:rPr>
          </w:pPr>
        </w:p>
        <w:p w:rsidR="006E37F4" w:rsidRDefault="000D152A">
          <w:pPr>
            <w:spacing w:after="0" w:line="240" w:lineRule="auto"/>
            <w:jc w:val="center"/>
            <w:rPr>
              <w:rFonts w:ascii="Arial" w:eastAsia="Arial" w:hAnsi="Arial"/>
              <w:color w:val="808080"/>
              <w:sz w:val="20"/>
              <w:szCs w:val="20"/>
            </w:rPr>
          </w:pPr>
          <w:r>
            <w:rPr>
              <w:rFonts w:ascii="Arial" w:eastAsia="Arial" w:hAnsi="Arial"/>
              <w:color w:val="808080"/>
              <w:sz w:val="20"/>
              <w:szCs w:val="20"/>
            </w:rPr>
            <w:t>Европейски съюз</w:t>
          </w:r>
        </w:p>
        <w:p w:rsidR="006E37F4" w:rsidRDefault="000D152A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Arial" w:eastAsia="Arial" w:hAnsi="Arial"/>
              <w:color w:val="808080"/>
              <w:sz w:val="20"/>
              <w:szCs w:val="20"/>
            </w:rPr>
            <w:t>Европейски структурни и инвестиционни фондове</w:t>
          </w:r>
        </w:p>
      </w:tc>
    </w:tr>
  </w:tbl>
  <w:p w:rsidR="006E37F4" w:rsidRDefault="006E37F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F4" w:rsidRDefault="006E37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40DE9"/>
    <w:multiLevelType w:val="multilevel"/>
    <w:tmpl w:val="B5ECA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37F4"/>
    <w:rsid w:val="000D152A"/>
    <w:rsid w:val="006E37F4"/>
    <w:rsid w:val="00C5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72"/>
    <w:rPr>
      <w:rFonts w:eastAsia="Times New Roman" w:cs="Arial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aliases w:val="123 List Paragraph,ADB paragraph numbering,ANNEX,Body,Bullets,Celula,Colorful List - Accent 11,List Paragraph (numbered (a)),List Paragraph nowy,List Paragraph1,List Paragraph11,List Paragraph2,Normal 2,Numbered List Paragraph"/>
    <w:basedOn w:val="a"/>
    <w:link w:val="a5"/>
    <w:uiPriority w:val="34"/>
    <w:qFormat/>
    <w:rsid w:val="00724E40"/>
    <w:pPr>
      <w:spacing w:after="0" w:line="240" w:lineRule="auto"/>
      <w:ind w:left="720"/>
    </w:pPr>
    <w:rPr>
      <w:rFonts w:eastAsiaTheme="minorHAnsi" w:cs="Calibri"/>
    </w:rPr>
  </w:style>
  <w:style w:type="table" w:styleId="a6">
    <w:name w:val="Table Grid"/>
    <w:basedOn w:val="a1"/>
    <w:uiPriority w:val="39"/>
    <w:rsid w:val="0028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28521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3"/>
      <w:szCs w:val="23"/>
    </w:rPr>
  </w:style>
  <w:style w:type="character" w:customStyle="1" w:styleId="a8">
    <w:name w:val="Основен текст Знак"/>
    <w:basedOn w:val="a0"/>
    <w:link w:val="a7"/>
    <w:uiPriority w:val="1"/>
    <w:rsid w:val="0028521D"/>
    <w:rPr>
      <w:rFonts w:ascii="Times New Roman" w:eastAsia="Times New Roman" w:hAnsi="Times New Roman" w:cs="Times New Roman"/>
      <w:sz w:val="23"/>
      <w:szCs w:val="23"/>
    </w:rPr>
  </w:style>
  <w:style w:type="character" w:styleId="a9">
    <w:name w:val="annotation reference"/>
    <w:basedOn w:val="a0"/>
    <w:uiPriority w:val="99"/>
    <w:semiHidden/>
    <w:unhideWhenUsed/>
    <w:rsid w:val="00435A2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35A25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435A2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35A25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435A2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35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435A25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55664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1">
    <w:name w:val="Горен колонтитул Знак"/>
    <w:basedOn w:val="a0"/>
    <w:link w:val="af0"/>
    <w:uiPriority w:val="99"/>
    <w:rsid w:val="00556646"/>
  </w:style>
  <w:style w:type="paragraph" w:styleId="af2">
    <w:name w:val="footer"/>
    <w:basedOn w:val="a"/>
    <w:link w:val="af3"/>
    <w:uiPriority w:val="99"/>
    <w:unhideWhenUsed/>
    <w:rsid w:val="0055664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Долен колонтитул Знак"/>
    <w:basedOn w:val="a0"/>
    <w:link w:val="af2"/>
    <w:uiPriority w:val="99"/>
    <w:rsid w:val="00556646"/>
  </w:style>
  <w:style w:type="paragraph" w:styleId="af4">
    <w:name w:val="footnote text"/>
    <w:basedOn w:val="a"/>
    <w:link w:val="af5"/>
    <w:uiPriority w:val="99"/>
    <w:unhideWhenUsed/>
    <w:rsid w:val="004F5C6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5">
    <w:name w:val="Текст под линия Знак"/>
    <w:basedOn w:val="a0"/>
    <w:link w:val="af4"/>
    <w:uiPriority w:val="99"/>
    <w:rsid w:val="004F5C6E"/>
    <w:rPr>
      <w:sz w:val="20"/>
      <w:szCs w:val="20"/>
    </w:rPr>
  </w:style>
  <w:style w:type="character" w:styleId="af6">
    <w:name w:val="footnote reference"/>
    <w:basedOn w:val="a0"/>
    <w:uiPriority w:val="99"/>
    <w:unhideWhenUsed/>
    <w:rsid w:val="004F5C6E"/>
    <w:rPr>
      <w:vertAlign w:val="superscript"/>
    </w:rPr>
  </w:style>
  <w:style w:type="character" w:customStyle="1" w:styleId="a5">
    <w:name w:val="Списък на абзаци Знак"/>
    <w:aliases w:val="123 List Paragraph Знак,ADB paragraph numbering Знак,ANNEX Знак,Body Знак,Bullets Знак,Celula Знак,Colorful List - Accent 11 Знак,List Paragraph (numbered (a)) Знак,List Paragraph nowy Знак,List Paragraph1 Знак,List Paragraph2 Знак"/>
    <w:link w:val="a4"/>
    <w:uiPriority w:val="34"/>
    <w:qFormat/>
    <w:locked/>
    <w:rsid w:val="00825234"/>
    <w:rPr>
      <w:rFonts w:ascii="Calibri" w:hAnsi="Calibri" w:cs="Calibri"/>
    </w:rPr>
  </w:style>
  <w:style w:type="paragraph" w:customStyle="1" w:styleId="Default">
    <w:name w:val="Default"/>
    <w:rsid w:val="00C8615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rsid w:val="009B32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a1"/>
    <w:next w:val="a6"/>
    <w:uiPriority w:val="39"/>
    <w:rsid w:val="00A20CD2"/>
    <w:pPr>
      <w:spacing w:after="0" w:line="240" w:lineRule="auto"/>
      <w:ind w:left="624" w:hanging="62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semiHidden/>
    <w:unhideWhenUsed/>
    <w:rsid w:val="00A20CD2"/>
    <w:rPr>
      <w:color w:val="0000FF"/>
      <w:u w:val="single"/>
    </w:rPr>
  </w:style>
  <w:style w:type="table" w:customStyle="1" w:styleId="GridTable1Light-Accent61">
    <w:name w:val="Grid Table 1 Light - Accent 61"/>
    <w:basedOn w:val="a1"/>
    <w:uiPriority w:val="46"/>
    <w:rsid w:val="00E3147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8">
    <w:name w:val="Table Grid 8"/>
    <w:basedOn w:val="a1"/>
    <w:rsid w:val="00A67672"/>
    <w:rPr>
      <w:rFonts w:eastAsia="Times New Roman" w:cs="Arial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Revision"/>
    <w:hidden/>
    <w:uiPriority w:val="99"/>
    <w:semiHidden/>
    <w:rsid w:val="009D739A"/>
    <w:pPr>
      <w:spacing w:after="0" w:line="240" w:lineRule="auto"/>
    </w:pPr>
    <w:rPr>
      <w:rFonts w:eastAsia="Times New Roman" w:cs="Arial"/>
    </w:rPr>
  </w:style>
  <w:style w:type="paragraph" w:styleId="af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72"/>
    <w:rPr>
      <w:rFonts w:eastAsia="Times New Roman" w:cs="Arial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aliases w:val="123 List Paragraph,ADB paragraph numbering,ANNEX,Body,Bullets,Celula,Colorful List - Accent 11,List Paragraph (numbered (a)),List Paragraph nowy,List Paragraph1,List Paragraph11,List Paragraph2,Normal 2,Numbered List Paragraph"/>
    <w:basedOn w:val="a"/>
    <w:link w:val="a5"/>
    <w:uiPriority w:val="34"/>
    <w:qFormat/>
    <w:rsid w:val="00724E40"/>
    <w:pPr>
      <w:spacing w:after="0" w:line="240" w:lineRule="auto"/>
      <w:ind w:left="720"/>
    </w:pPr>
    <w:rPr>
      <w:rFonts w:eastAsiaTheme="minorHAnsi" w:cs="Calibri"/>
    </w:rPr>
  </w:style>
  <w:style w:type="table" w:styleId="a6">
    <w:name w:val="Table Grid"/>
    <w:basedOn w:val="a1"/>
    <w:uiPriority w:val="39"/>
    <w:rsid w:val="0028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28521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3"/>
      <w:szCs w:val="23"/>
    </w:rPr>
  </w:style>
  <w:style w:type="character" w:customStyle="1" w:styleId="a8">
    <w:name w:val="Основен текст Знак"/>
    <w:basedOn w:val="a0"/>
    <w:link w:val="a7"/>
    <w:uiPriority w:val="1"/>
    <w:rsid w:val="0028521D"/>
    <w:rPr>
      <w:rFonts w:ascii="Times New Roman" w:eastAsia="Times New Roman" w:hAnsi="Times New Roman" w:cs="Times New Roman"/>
      <w:sz w:val="23"/>
      <w:szCs w:val="23"/>
    </w:rPr>
  </w:style>
  <w:style w:type="character" w:styleId="a9">
    <w:name w:val="annotation reference"/>
    <w:basedOn w:val="a0"/>
    <w:uiPriority w:val="99"/>
    <w:semiHidden/>
    <w:unhideWhenUsed/>
    <w:rsid w:val="00435A2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35A25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435A2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35A25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435A2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35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435A25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55664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1">
    <w:name w:val="Горен колонтитул Знак"/>
    <w:basedOn w:val="a0"/>
    <w:link w:val="af0"/>
    <w:uiPriority w:val="99"/>
    <w:rsid w:val="00556646"/>
  </w:style>
  <w:style w:type="paragraph" w:styleId="af2">
    <w:name w:val="footer"/>
    <w:basedOn w:val="a"/>
    <w:link w:val="af3"/>
    <w:uiPriority w:val="99"/>
    <w:unhideWhenUsed/>
    <w:rsid w:val="0055664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Долен колонтитул Знак"/>
    <w:basedOn w:val="a0"/>
    <w:link w:val="af2"/>
    <w:uiPriority w:val="99"/>
    <w:rsid w:val="00556646"/>
  </w:style>
  <w:style w:type="paragraph" w:styleId="af4">
    <w:name w:val="footnote text"/>
    <w:basedOn w:val="a"/>
    <w:link w:val="af5"/>
    <w:uiPriority w:val="99"/>
    <w:unhideWhenUsed/>
    <w:rsid w:val="004F5C6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5">
    <w:name w:val="Текст под линия Знак"/>
    <w:basedOn w:val="a0"/>
    <w:link w:val="af4"/>
    <w:uiPriority w:val="99"/>
    <w:rsid w:val="004F5C6E"/>
    <w:rPr>
      <w:sz w:val="20"/>
      <w:szCs w:val="20"/>
    </w:rPr>
  </w:style>
  <w:style w:type="character" w:styleId="af6">
    <w:name w:val="footnote reference"/>
    <w:basedOn w:val="a0"/>
    <w:uiPriority w:val="99"/>
    <w:unhideWhenUsed/>
    <w:rsid w:val="004F5C6E"/>
    <w:rPr>
      <w:vertAlign w:val="superscript"/>
    </w:rPr>
  </w:style>
  <w:style w:type="character" w:customStyle="1" w:styleId="a5">
    <w:name w:val="Списък на абзаци Знак"/>
    <w:aliases w:val="123 List Paragraph Знак,ADB paragraph numbering Знак,ANNEX Знак,Body Знак,Bullets Знак,Celula Знак,Colorful List - Accent 11 Знак,List Paragraph (numbered (a)) Знак,List Paragraph nowy Знак,List Paragraph1 Знак,List Paragraph2 Знак"/>
    <w:link w:val="a4"/>
    <w:uiPriority w:val="34"/>
    <w:qFormat/>
    <w:locked/>
    <w:rsid w:val="00825234"/>
    <w:rPr>
      <w:rFonts w:ascii="Calibri" w:hAnsi="Calibri" w:cs="Calibri"/>
    </w:rPr>
  </w:style>
  <w:style w:type="paragraph" w:customStyle="1" w:styleId="Default">
    <w:name w:val="Default"/>
    <w:rsid w:val="00C8615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rsid w:val="009B32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a1"/>
    <w:next w:val="a6"/>
    <w:uiPriority w:val="39"/>
    <w:rsid w:val="00A20CD2"/>
    <w:pPr>
      <w:spacing w:after="0" w:line="240" w:lineRule="auto"/>
      <w:ind w:left="624" w:hanging="62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semiHidden/>
    <w:unhideWhenUsed/>
    <w:rsid w:val="00A20CD2"/>
    <w:rPr>
      <w:color w:val="0000FF"/>
      <w:u w:val="single"/>
    </w:rPr>
  </w:style>
  <w:style w:type="table" w:customStyle="1" w:styleId="GridTable1Light-Accent61">
    <w:name w:val="Grid Table 1 Light - Accent 61"/>
    <w:basedOn w:val="a1"/>
    <w:uiPriority w:val="46"/>
    <w:rsid w:val="00E3147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8">
    <w:name w:val="Table Grid 8"/>
    <w:basedOn w:val="a1"/>
    <w:rsid w:val="00A67672"/>
    <w:rPr>
      <w:rFonts w:eastAsia="Times New Roman" w:cs="Arial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Revision"/>
    <w:hidden/>
    <w:uiPriority w:val="99"/>
    <w:semiHidden/>
    <w:rsid w:val="009D739A"/>
    <w:pPr>
      <w:spacing w:after="0" w:line="240" w:lineRule="auto"/>
    </w:pPr>
    <w:rPr>
      <w:rFonts w:eastAsia="Times New Roman" w:cs="Arial"/>
    </w:rPr>
  </w:style>
  <w:style w:type="paragraph" w:styleId="af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Gpu2wVhyAwwf3D50UEeLEU3sdg==">AMUW2mVTnQ8J1SWnWsa+Lg0GtbmxuO2tHMHDESh0KLql33GKUZLsDvki4kGSp5xzIaRHDGEWrZXxJqeluAloh1joi/Zro+XTJ3Un23a+pHay57xj6uF9vloarahwpXaLkN/b+NReb/53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 Team</dc:creator>
  <cp:lastModifiedBy>ekaterina</cp:lastModifiedBy>
  <cp:revision>2</cp:revision>
  <dcterms:created xsi:type="dcterms:W3CDTF">2021-06-01T08:56:00Z</dcterms:created>
  <dcterms:modified xsi:type="dcterms:W3CDTF">2021-06-01T08:56:00Z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0x010100884A3277B7707A48B0E1B9AC835E8163</vt:lpwstr>
  </property>
</Properties>
</file>